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Структура и органы управления колледжем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Проект организационной модели и содержания подраздела сайта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Модель рассчитана на автономную некоммерческую профессиональную образовательную организацию. Полномочия необходимо синхронизировать с окончательным уставом.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Органы управления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Орган</w:t>
            </w:r>
          </w:p>
        </w:tc>
        <w:tc>
          <w:tcPr>
            <w:tcW w:type="dxa" w:w="44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Публикуемый документ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Учредитель</w:t>
            </w:r>
          </w:p>
        </w:tc>
        <w:tc>
          <w:tcPr>
            <w:tcW w:type="dxa" w:w="44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Стратегические решения, назначение директора, имущество и контроль</w:t>
            </w:r>
          </w:p>
        </w:tc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Устав и решение учредителя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Директор</w:t>
            </w:r>
          </w:p>
        </w:tc>
        <w:tc>
          <w:tcPr>
            <w:tcW w:type="dxa" w:w="44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Единоличное текущее управление и представление организации</w:t>
            </w:r>
          </w:p>
        </w:tc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Приказ о назначении и сведения о руководителе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Общее собрание работников и обучающихся</w:t>
            </w:r>
          </w:p>
        </w:tc>
        <w:tc>
          <w:tcPr>
            <w:tcW w:type="dxa" w:w="44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Обсуждение вопросов жизни колледжа в пределах устава</w:t>
            </w:r>
          </w:p>
        </w:tc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Положение и протоколы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Педагогический совет</w:t>
            </w:r>
          </w:p>
        </w:tc>
        <w:tc>
          <w:tcPr>
            <w:tcW w:type="dxa" w:w="44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Образовательные программы, качество, аттестация и методическая работа</w:t>
            </w:r>
          </w:p>
        </w:tc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Положение и решения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Студенческий совет</w:t>
            </w:r>
          </w:p>
        </w:tc>
        <w:tc>
          <w:tcPr>
            <w:tcW w:type="dxa" w:w="446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Представительство интересов обучающихся</w:t>
            </w:r>
          </w:p>
        </w:tc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Положение и состав после формирования</w:t>
            </w:r>
          </w:p>
        </w:tc>
      </w:tr>
    </w:tbl>
    <w:p>
      <w:pPr>
        <w:spacing w:after="40"/>
      </w:pPr>
    </w:p>
    <w:p>
      <w:pPr>
        <w:pStyle w:val="Heading1"/>
      </w:pPr>
      <w:r>
        <w:t>Предлагаемые подразделения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Подразделение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Основная функция</w:t>
            </w:r>
          </w:p>
        </w:tc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Статус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Учебная часть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Учебные планы, расписание, движение контингента, аттестация</w:t>
            </w:r>
          </w:p>
        </w:tc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Создать к лицензированию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Методическая служба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Рабочие программы, оценочные средства, поддержка практиков</w:t>
            </w:r>
          </w:p>
        </w:tc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Создать к запуску программ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Служба цифровой образовательной среды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Сайт, кабинет, интеграция с Препод тех, поддержка пользователей</w:t>
            </w:r>
          </w:p>
        </w:tc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Проектируется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Приемная комиссия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Прием документов и конкурсные процедуры</w:t>
            </w:r>
          </w:p>
        </w:tc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Создавать ежегодным приказом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Служба качества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Внутренняя оценка и самообследование</w:t>
            </w:r>
          </w:p>
        </w:tc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Назначить ответственного</w:t>
            </w:r>
          </w:p>
        </w:tc>
      </w:tr>
      <w:tr>
        <w:trPr>
          <w:cantSplit w:val="true"/>
        </w:trPr>
        <w:tc>
          <w:tcPr>
            <w:tcW w:type="dxa" w:w="295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Административная служба</w:t>
            </w:r>
          </w:p>
        </w:tc>
        <w:tc>
          <w:tcPr>
            <w:tcW w:type="dxa" w:w="46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Кадры, договоры, закупки, охрана труда и делопроизводство</w:t>
            </w:r>
          </w:p>
        </w:tc>
        <w:tc>
          <w:tcPr>
            <w:tcW w:type="dxa" w:w="201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Сформировать после регистрации</w:t>
            </w:r>
          </w:p>
        </w:tc>
      </w:tr>
    </w:tbl>
    <w:p>
      <w:pPr>
        <w:spacing w:after="40"/>
      </w:pPr>
    </w:p>
    <w:p>
      <w:pPr>
        <w:pStyle w:val="Heading1"/>
      </w:pPr>
      <w:r>
        <w:t>Сведения для каждой единицы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полное наименование органа или подразделения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фамилия имя отчество и должность руководителя после назначения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адрес места нахождения и официальный адрес электронной почты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положение об органе или подразделении в виде доступного электронного документа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прямая ссылка на страницу или файл без необходимости входа</w:t>
      </w:r>
    </w:p>
    <w:p>
      <w:pPr>
        <w:pStyle w:val="Heading1"/>
      </w:pPr>
      <w:r>
        <w:t>Правило согласования полномочий</w:t>
      </w:r>
    </w:p>
    <w:p>
      <w:pPr>
        <w:widowControl/>
      </w:pPr>
      <w:r>
        <w:t>Один и тот же вопрос не должен одновременно относиться к исключительной компетенции учредителя, директора и коллегиального органа. Матрицу полномочий проверяют по уставу, положениям и должностным инструкциям до их утверждения.</w:t>
      </w:r>
    </w:p>
    <w:p>
      <w:pPr>
        <w:widowControl/>
      </w:pPr>
      <w:r>
        <w:t>Формулировка о практикующих преподавателях относится к кадровой политике. Она не отменяет обязательных требований к образованию, квалификации, стажу и оформлению трудовых или гражданско правовых отношений.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