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100" w:after="360"/>
      </w:pPr>
      <w:r>
        <w:rPr>
          <w:rFonts w:ascii="Arial" w:hAnsi="Arial" w:eastAsia="Arial"/>
          <w:b/>
          <w:color w:val="000000"/>
          <w:sz w:val="58"/>
        </w:rPr>
        <w:t>Прием движение контингента и учет результатов</w:t>
      </w:r>
    </w:p>
    <w:p>
      <w:pPr>
        <w:spacing w:after="520"/>
      </w:pPr>
      <w:r>
        <w:rPr>
          <w:rFonts w:ascii="Arial" w:hAnsi="Arial" w:eastAsia="Arial"/>
          <w:color w:val="666660"/>
          <w:sz w:val="30"/>
        </w:rPr>
        <w:t>Проекты правил приема перевода отчисления восстановления и официального учета</w:t>
      </w:r>
    </w:p>
    <w:p>
      <w:pPr>
        <w:spacing w:after="680"/>
      </w:pPr>
      <w:r>
        <w:rPr>
          <w:rFonts w:ascii="Arial" w:hAnsi="Arial" w:eastAsia="Arial"/>
          <w:b/>
          <w:color w:val="C83728"/>
          <w:sz w:val="19"/>
        </w:rPr>
        <w:t>ПРОЕКТ  НЕ УТВЕРЖДЕНО  ПРИЕМ НЕ ВЕДЕТСЯ</w:t>
      </w:r>
    </w:p>
    <w:p>
      <w:pPr>
        <w:spacing w:after="320"/>
      </w:pPr>
      <w:r>
        <w:rPr>
          <w:rFonts w:ascii="Arial" w:hAnsi="Arial" w:eastAsia="Arial"/>
          <w:i/>
          <w:color w:val="666660"/>
          <w:sz w:val="21"/>
        </w:rPr>
        <w:t>Процедуры можно согласовывать как модель. Сроки, места, стоимость, база приема и формы приказов заполняются только после утверждения программы, регистрации и лицензирования.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Организация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Колледж искусственного образования  проектное наименование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Учредитель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Университет судьба  проектное наименование НКО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Версия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9 октября 2026 года  рабочая редакция 1</w:t>
            </w:r>
          </w:p>
        </w:tc>
      </w:tr>
    </w:tbl>
    <w:p>
      <w:r>
        <w:br w:type="page"/>
      </w:r>
    </w:p>
    <w:p>
      <w:pPr>
        <w:pStyle w:val="Heading1"/>
      </w:pPr>
      <w:r>
        <w:t>Граница применения</w:t>
      </w:r>
    </w:p>
    <w:p>
      <w:pPr>
        <w:widowControl/>
      </w:pPr>
      <w:r>
        <w:t>До получения лицензии документы не являются объявлением приема. На сайте сохраняется сообщение о том, что заявления, договоры и оплата не принимаются.</w:t>
      </w:r>
    </w:p>
    <w:p>
      <w:pPr>
        <w:widowControl/>
      </w:pPr>
      <w:r>
        <w:t>После лицензирования директор ежегодно утверждает приложение к правилам приема. Оно не может заменяться рекламной страницей или настройкой формы на сайте.</w:t>
      </w:r>
    </w:p>
    <w:p>
      <w:pPr>
        <w:pStyle w:val="Heading1"/>
      </w:pPr>
      <w:r>
        <w:t>Правила приема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1. </w:t>
      </w:r>
      <w:r>
        <w:rPr>
          <w:rFonts w:ascii="Arial" w:hAnsi="Arial" w:eastAsia="Arial"/>
          <w:sz w:val="21"/>
        </w:rPr>
        <w:t>Прием проводится на равных условиях по утвержденной программе, форме и базе образования в пределах объявленных мест.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2. </w:t>
      </w:r>
      <w:r>
        <w:rPr>
          <w:rFonts w:ascii="Arial" w:hAnsi="Arial" w:eastAsia="Arial"/>
          <w:sz w:val="21"/>
        </w:rPr>
        <w:t>До подачи заявления поступающий получает сведения об организации, лицензии, программе, форме, сроке, языке, стоимости, специальных условиях и порядке обработки данных.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3. </w:t>
      </w:r>
      <w:r>
        <w:rPr>
          <w:rFonts w:ascii="Arial" w:hAnsi="Arial" w:eastAsia="Arial"/>
          <w:sz w:val="21"/>
        </w:rPr>
        <w:t>Заявление регистрируется с уникальным номером. Запрашиваются только документы, предусмотренные правилами приема и необходимые для проверки права на поступление.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4. </w:t>
      </w:r>
      <w:r>
        <w:rPr>
          <w:rFonts w:ascii="Arial" w:hAnsi="Arial" w:eastAsia="Arial"/>
          <w:sz w:val="21"/>
        </w:rPr>
        <w:t>При конкурсе применяются заранее опубликованные критерии. Решения комиссии протоколируются, а поступающему доступен порядок апелляции.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5. </w:t>
      </w:r>
      <w:r>
        <w:rPr>
          <w:rFonts w:ascii="Arial" w:hAnsi="Arial" w:eastAsia="Arial"/>
          <w:sz w:val="21"/>
        </w:rPr>
        <w:t>Зачисление оформляется приказом после выполнения условий приема и, для платного обучения, заключения договора. Сведения в личном кабинете не заменяют приказ.</w:t>
      </w:r>
    </w:p>
    <w:p>
      <w:pPr>
        <w:pStyle w:val="Heading1"/>
      </w:pPr>
      <w:r>
        <w:t>Ежегодное приложение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482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Решение</w:t>
            </w:r>
          </w:p>
        </w:tc>
        <w:tc>
          <w:tcPr>
            <w:tcW w:type="dxa" w:w="27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Статус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База приема</w:t>
            </w:r>
          </w:p>
        </w:tc>
        <w:tc>
          <w:tcPr>
            <w:tcW w:type="dxa" w:w="482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9 или 11 классов</w:t>
            </w:r>
          </w:p>
        </w:tc>
        <w:tc>
          <w:tcPr>
            <w:tcW w:type="dxa" w:w="27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Выбрать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Сроки</w:t>
            </w:r>
          </w:p>
        </w:tc>
        <w:tc>
          <w:tcPr>
            <w:tcW w:type="dxa" w:w="482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Начало и окончание приема, сроки оригиналов</w:t>
            </w:r>
          </w:p>
        </w:tc>
        <w:tc>
          <w:tcPr>
            <w:tcW w:type="dxa" w:w="27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Утвердить ежегодно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Места</w:t>
            </w:r>
          </w:p>
        </w:tc>
        <w:tc>
          <w:tcPr>
            <w:tcW w:type="dxa" w:w="482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 программе и источнику финансирования</w:t>
            </w:r>
          </w:p>
        </w:tc>
        <w:tc>
          <w:tcPr>
            <w:tcW w:type="dxa" w:w="27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После ресурсного расчета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Стоимость</w:t>
            </w:r>
          </w:p>
        </w:tc>
        <w:tc>
          <w:tcPr>
            <w:tcW w:type="dxa" w:w="482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Полная стоимость и график</w:t>
            </w:r>
          </w:p>
        </w:tc>
        <w:tc>
          <w:tcPr>
            <w:tcW w:type="dxa" w:w="27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Отдельный приказ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Конкурс</w:t>
            </w:r>
          </w:p>
        </w:tc>
        <w:tc>
          <w:tcPr>
            <w:tcW w:type="dxa" w:w="482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Критерии и порядок ранжирования</w:t>
            </w:r>
          </w:p>
        </w:tc>
        <w:tc>
          <w:tcPr>
            <w:tcW w:type="dxa" w:w="27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До открытия приема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ОВЗ</w:t>
            </w:r>
          </w:p>
        </w:tc>
        <w:tc>
          <w:tcPr>
            <w:tcW w:type="dxa" w:w="482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Способ запроса специальных условий</w:t>
            </w:r>
          </w:p>
        </w:tc>
        <w:tc>
          <w:tcPr>
            <w:tcW w:type="dxa" w:w="27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До открытия приема</w:t>
            </w:r>
          </w:p>
        </w:tc>
      </w:tr>
    </w:tbl>
    <w:p>
      <w:pPr>
        <w:spacing w:after="40"/>
      </w:pPr>
    </w:p>
    <w:p>
      <w:pPr>
        <w:pStyle w:val="Heading1"/>
      </w:pPr>
      <w:r>
        <w:t>Перевод академический отпуск отчисление восстановление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  <w:cantSplit w:val="true"/>
        </w:trPr>
        <w:tc>
          <w:tcPr>
            <w:tcW w:type="dxa" w:w="216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Процесс</w:t>
            </w:r>
          </w:p>
        </w:tc>
        <w:tc>
          <w:tcPr>
            <w:tcW w:type="dxa" w:w="52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Основание и шаги</w:t>
            </w:r>
          </w:p>
        </w:tc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Результат</w:t>
            </w:r>
          </w:p>
        </w:tc>
      </w:tr>
      <w:tr>
        <w:trPr>
          <w:cantSplit w:val="true"/>
        </w:trPr>
        <w:tc>
          <w:tcPr>
            <w:tcW w:type="dxa" w:w="216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Перевод</w:t>
            </w:r>
          </w:p>
        </w:tc>
        <w:tc>
          <w:tcPr>
            <w:tcW w:type="dxa" w:w="52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Заявление, проверка вакантного места и разницы, решение комиссии</w:t>
            </w:r>
          </w:p>
        </w:tc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Приказ и индивидуальный план</w:t>
            </w:r>
          </w:p>
        </w:tc>
      </w:tr>
      <w:tr>
        <w:trPr>
          <w:cantSplit w:val="true"/>
        </w:trPr>
        <w:tc>
          <w:tcPr>
            <w:tcW w:type="dxa" w:w="216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Академический отпуск</w:t>
            </w:r>
          </w:p>
        </w:tc>
        <w:tc>
          <w:tcPr>
            <w:tcW w:type="dxa" w:w="52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Заявление и документы по установленным основаниям</w:t>
            </w:r>
          </w:p>
        </w:tc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Приказ, срок, условия выхода</w:t>
            </w:r>
          </w:p>
        </w:tc>
      </w:tr>
      <w:tr>
        <w:trPr>
          <w:cantSplit w:val="true"/>
        </w:trPr>
        <w:tc>
          <w:tcPr>
            <w:tcW w:type="dxa" w:w="216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Индивидуальный план</w:t>
            </w:r>
          </w:p>
        </w:tc>
        <w:tc>
          <w:tcPr>
            <w:tcW w:type="dxa" w:w="52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Подтвержденная потребность и академическая выполнимость</w:t>
            </w:r>
          </w:p>
        </w:tc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План, график и ответственный</w:t>
            </w:r>
          </w:p>
        </w:tc>
      </w:tr>
      <w:tr>
        <w:trPr>
          <w:cantSplit w:val="true"/>
        </w:trPr>
        <w:tc>
          <w:tcPr>
            <w:tcW w:type="dxa" w:w="216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Отчисление</w:t>
            </w:r>
          </w:p>
        </w:tc>
        <w:tc>
          <w:tcPr>
            <w:tcW w:type="dxa" w:w="52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Законное основание, фиксация обстоятельств и право дать объяснение</w:t>
            </w:r>
          </w:p>
        </w:tc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Мотивированный приказ и справка</w:t>
            </w:r>
          </w:p>
        </w:tc>
      </w:tr>
      <w:tr>
        <w:trPr>
          <w:cantSplit w:val="true"/>
        </w:trPr>
        <w:tc>
          <w:tcPr>
            <w:tcW w:type="dxa" w:w="216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Восстановление</w:t>
            </w:r>
          </w:p>
        </w:tc>
        <w:tc>
          <w:tcPr>
            <w:tcW w:type="dxa" w:w="52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Заявление, срок, место, разница и возможность продолжения</w:t>
            </w:r>
          </w:p>
        </w:tc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Решение и приказ</w:t>
            </w:r>
          </w:p>
        </w:tc>
      </w:tr>
    </w:tbl>
    <w:p>
      <w:pPr>
        <w:spacing w:after="40"/>
      </w:pPr>
    </w:p>
    <w:p>
      <w:pPr>
        <w:pStyle w:val="Heading1"/>
      </w:pPr>
      <w:r>
        <w:t>Официальный учет результатов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1. </w:t>
      </w:r>
      <w:r>
        <w:rPr>
          <w:rFonts w:ascii="Arial" w:hAnsi="Arial" w:eastAsia="Arial"/>
          <w:sz w:val="21"/>
        </w:rPr>
        <w:t>Препод.тех показывает студенту предметы, работы, оценки и отметки посещаемости, но не является единственным официальным архивом колледжа.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2. </w:t>
      </w:r>
      <w:r>
        <w:rPr>
          <w:rFonts w:ascii="Arial" w:hAnsi="Arial" w:eastAsia="Arial"/>
          <w:sz w:val="21"/>
        </w:rPr>
        <w:t>Оценка связывается с обучающимся, программой, дисциплиной, работой, преподавателем, датой и версией критерия. Изменение создает новую запись и не стирает историю.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3. </w:t>
      </w:r>
      <w:r>
        <w:rPr>
          <w:rFonts w:ascii="Arial" w:hAnsi="Arial" w:eastAsia="Arial"/>
          <w:sz w:val="21"/>
        </w:rPr>
        <w:t>Исправление проводится по мотивированному основанию. Система хранит автора, время, старое и новое значение; спор разрешает уполномоченная комиссия.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4. </w:t>
      </w:r>
      <w:r>
        <w:rPr>
          <w:rFonts w:ascii="Arial" w:hAnsi="Arial" w:eastAsia="Arial"/>
          <w:sz w:val="21"/>
        </w:rPr>
        <w:t>Колледж выполняет регулярную подписанную выгрузку, сверку с Препод.тех, резервное копирование и проверку восстановления.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5. </w:t>
      </w:r>
      <w:r>
        <w:rPr>
          <w:rFonts w:ascii="Arial" w:hAnsi="Arial" w:eastAsia="Arial"/>
          <w:sz w:val="21"/>
        </w:rPr>
        <w:t>Дипломы, приложения, дубликаты и справки выдаются по утвержденным формам; сведения передаются в ФРДО только назначенными лицами после контрольной сверки.</w:t>
      </w:r>
    </w:p>
    <w:p>
      <w:pPr>
        <w:pStyle w:val="Heading1"/>
      </w:pPr>
      <w:r>
        <w:t>Формы и реестры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заявление о приеме и расписка о принятых документах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ведомость конкурса и протокол приемной комиссии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заявления о переводе, академическом отпуске, отчислении и восстановлении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ведомость академической разницы и индивидуальный учебный план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акт исправления учебной записи и журнал изменений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ведомость и протокол аттестации, справка об обучении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реестр выданных документов и контроль передачи в ФРДО</w:t>
      </w:r>
    </w:p>
    <w:p>
      <w:pPr>
        <w:pStyle w:val="Heading1"/>
      </w:pPr>
      <w:r>
        <w:t>Контроль перед утверждением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  <w:cantSplit w:val="true"/>
        </w:trPr>
        <w:tc>
          <w:tcPr>
            <w:tcW w:type="dxa" w:w="20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Ворота</w:t>
            </w:r>
          </w:p>
        </w:tc>
        <w:tc>
          <w:tcPr>
            <w:tcW w:type="dxa" w:w="53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Проверка</w:t>
            </w:r>
          </w:p>
        </w:tc>
        <w:tc>
          <w:tcPr>
            <w:tcW w:type="dxa" w:w="23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Кто подтверждает</w:t>
            </w:r>
          </w:p>
        </w:tc>
      </w:tr>
      <w:tr>
        <w:trPr>
          <w:cantSplit w:val="true"/>
        </w:trPr>
        <w:tc>
          <w:tcPr>
            <w:tcW w:type="dxa" w:w="20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Юридическое лицо</w:t>
            </w:r>
          </w:p>
        </w:tc>
        <w:tc>
          <w:tcPr>
            <w:tcW w:type="dxa" w:w="53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Реквизиты и полномочия совпадают с реестром и уставом</w:t>
            </w:r>
          </w:p>
        </w:tc>
        <w:tc>
          <w:tcPr>
            <w:tcW w:type="dxa" w:w="23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Учредитель и директор</w:t>
            </w:r>
          </w:p>
        </w:tc>
      </w:tr>
      <w:tr>
        <w:trPr>
          <w:cantSplit w:val="true"/>
        </w:trPr>
        <w:tc>
          <w:tcPr>
            <w:tcW w:type="dxa" w:w="20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Лицензия</w:t>
            </w:r>
          </w:p>
        </w:tc>
        <w:tc>
          <w:tcPr>
            <w:tcW w:type="dxa" w:w="53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Программа, форма и адрес входят в действующую запись</w:t>
            </w:r>
          </w:p>
        </w:tc>
        <w:tc>
          <w:tcPr>
            <w:tcW w:type="dxa" w:w="23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Ответственный за лицензирование</w:t>
            </w:r>
          </w:p>
        </w:tc>
      </w:tr>
      <w:tr>
        <w:trPr>
          <w:cantSplit w:val="true"/>
        </w:trPr>
        <w:tc>
          <w:tcPr>
            <w:tcW w:type="dxa" w:w="20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Программа</w:t>
            </w:r>
          </w:p>
        </w:tc>
        <w:tc>
          <w:tcPr>
            <w:tcW w:type="dxa" w:w="53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База, срок, план, календарь и места утверждены</w:t>
            </w:r>
          </w:p>
        </w:tc>
        <w:tc>
          <w:tcPr>
            <w:tcW w:type="dxa" w:w="23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Педагогический совет</w:t>
            </w:r>
          </w:p>
        </w:tc>
      </w:tr>
      <w:tr>
        <w:trPr>
          <w:cantSplit w:val="true"/>
        </w:trPr>
        <w:tc>
          <w:tcPr>
            <w:tcW w:type="dxa" w:w="20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Прием</w:t>
            </w:r>
          </w:p>
        </w:tc>
        <w:tc>
          <w:tcPr>
            <w:tcW w:type="dxa" w:w="53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Сроки, конкурс, стоимость и формы опубликованы до старта</w:t>
            </w:r>
          </w:p>
        </w:tc>
        <w:tc>
          <w:tcPr>
            <w:tcW w:type="dxa" w:w="23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Приемная комиссия</w:t>
            </w:r>
          </w:p>
        </w:tc>
      </w:tr>
      <w:tr>
        <w:trPr>
          <w:cantSplit w:val="true"/>
        </w:trPr>
        <w:tc>
          <w:tcPr>
            <w:tcW w:type="dxa" w:w="20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Учет</w:t>
            </w:r>
          </w:p>
        </w:tc>
        <w:tc>
          <w:tcPr>
            <w:tcW w:type="dxa" w:w="53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Назначены владельцы, формы, архив, ФРДО и порядок исправления</w:t>
            </w:r>
          </w:p>
        </w:tc>
        <w:tc>
          <w:tcPr>
            <w:tcW w:type="dxa" w:w="23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Учебная часть</w:t>
            </w:r>
          </w:p>
        </w:tc>
      </w:tr>
      <w:tr>
        <w:trPr>
          <w:cantSplit w:val="true"/>
        </w:trPr>
        <w:tc>
          <w:tcPr>
            <w:tcW w:type="dxa" w:w="20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Данные</w:t>
            </w:r>
          </w:p>
        </w:tc>
        <w:tc>
          <w:tcPr>
            <w:tcW w:type="dxa" w:w="53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Собирается минимум данных, права доступа и сроки настроены</w:t>
            </w:r>
          </w:p>
        </w:tc>
        <w:tc>
          <w:tcPr>
            <w:tcW w:type="dxa" w:w="23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Ответственный за ПДн</w:t>
            </w:r>
          </w:p>
        </w:tc>
      </w:tr>
    </w:tbl>
    <w:p>
      <w:pPr>
        <w:spacing w:after="40"/>
      </w:pPr>
    </w:p>
    <w:p>
      <w:pPr>
        <w:spacing w:before="120"/>
      </w:pPr>
      <w:r>
        <w:rPr>
          <w:rFonts w:ascii="Arial" w:hAnsi="Arial" w:eastAsia="Arial"/>
          <w:b/>
          <w:color w:val="171715"/>
          <w:sz w:val="17"/>
        </w:rPr>
        <w:t xml:space="preserve">Правила приема на обучение по программам СПО, приказ № 457 </w:t>
      </w:r>
      <w:r>
        <w:rPr>
          <w:rFonts w:ascii="Arial" w:hAnsi="Arial" w:eastAsia="Arial"/>
          <w:color w:val="C83728"/>
          <w:sz w:val="17"/>
        </w:rPr>
        <w:t>https://publication.pravo.gov.ru/Document/View/0001202011060030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66660"/>
        <w:sz w:val="16"/>
      </w:rPr>
      <w:t xml:space="preserve">Проект для согласования  |  Колледж искусственного образования  |  </w:t>
    </w:r>
    <w:fldSimple w:instr="PAGE">
      <w:r>
        <w:rPr>
          <w:color w:val="666660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7171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