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Развитие воспитание и доступная среда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Проекты программы развития воспитательной работы и условий для лиц с ОВЗ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Стратегию и процедуры можно согласовать сейчас. Фактические показатели, календарь, паспорт доступности и перечень оборудования появляются после выбора помещений, контингента и ответственных.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Программа развития 2027 2030 проект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Цель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результата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Доказательство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Практическое образование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Каждый модуль завершается проверяемым профессиональным результатом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Матрица заданий и портфолио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Преподаватели практики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 каждого преподавателя подтвержден актуальный опыт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Кадровое досье и ежегодная проверка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Кабинет доступен, записи защищены и выгружаются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SLA, журналы, тест восстановления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Качество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Работодатели и студенты участвуют в улучшении программ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Протоколы и план улучшений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Доступность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Специальные условия предоставляются по подтвержденной потребности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Паспорт, заявки и акты исполнения</w:t>
            </w:r>
          </w:p>
        </w:tc>
      </w:tr>
    </w:tbl>
    <w:p>
      <w:pPr>
        <w:spacing w:after="40"/>
      </w:pPr>
    </w:p>
    <w:p>
      <w:pPr>
        <w:pStyle w:val="Heading1"/>
      </w:pPr>
      <w:r>
        <w:t>Проекты и мониторинг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юридическая клиника и мастерская публичных процессов с безопасными учебными кейсами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сеть баз практики и совет работодателей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педагогическая лаборатория преподавателей практиков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независимый архив учебных результатов и цифровая устойчивость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доступная образовательная среда и сопровождение индивидуальных маршрутов</w:t>
      </w:r>
    </w:p>
    <w:p>
      <w:pPr>
        <w:widowControl/>
      </w:pPr>
      <w:r>
        <w:t>Для каждого проекта утверждаются владелец, бюджет, исходное значение, целевой показатель, источник данных, периодичность и риск. Неподтвержденные числа не публикуются как достигнутые.</w:t>
      </w:r>
    </w:p>
    <w:p>
      <w:pPr>
        <w:pStyle w:val="Heading1"/>
      </w:pPr>
      <w:r>
        <w:t>Рабочая программа воспитания 40 02 04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Направление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Практика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Результат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Профессиональная этика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конфликта интересов и границ консультации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Этическая позиция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Гражданская культура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Работа с открытыми правовыми источниками и обращениями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Ответственное правовое действие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культура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Проверка источников, защита данных, раскрытие применения ИИ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Воспроизводимое цифровое досье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Самоуправление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Студенческий совет и участие в улучшении среды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Протокол решения и отчет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Профессиональное развитие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Встречи с практиками и рефлексия практики</w:t>
            </w:r>
          </w:p>
        </w:tc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Индивидуальный план развития</w:t>
            </w:r>
          </w:p>
        </w:tc>
      </w:tr>
    </w:tbl>
    <w:p>
      <w:pPr>
        <w:spacing w:after="40"/>
      </w:pPr>
    </w:p>
    <w:p>
      <w:pPr>
        <w:pStyle w:val="Heading1"/>
      </w:pPr>
      <w:r>
        <w:t>Шаблон календарного плана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  <w:cantSplit w:val="true"/>
        </w:trPr>
        <w:tc>
          <w:tcPr>
            <w:tcW w:type="dxa" w:w="11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Мероприятие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Связь с программой</w:t>
            </w:r>
          </w:p>
        </w:tc>
        <w:tc>
          <w:tcPr>
            <w:tcW w:type="dxa" w:w="15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Доказательство</w:t>
            </w:r>
          </w:p>
        </w:tc>
      </w:tr>
      <w:tr>
        <w:trPr>
          <w:cantSplit w:val="true"/>
        </w:trPr>
        <w:tc>
          <w:tcPr>
            <w:tcW w:type="dxa" w:w="11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Указать</w:t>
            </w:r>
          </w:p>
        </w:tc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Указать действие, а не лозунг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Компетенция или модуль</w:t>
            </w:r>
          </w:p>
        </w:tc>
        <w:tc>
          <w:tcPr>
            <w:tcW w:type="dxa" w:w="15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Назначить</w:t>
            </w:r>
          </w:p>
        </w:tc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Материал, протокол, результат</w:t>
            </w:r>
          </w:p>
        </w:tc>
      </w:tr>
    </w:tbl>
    <w:p>
      <w:pPr>
        <w:spacing w:after="40"/>
      </w:pPr>
    </w:p>
    <w:p>
      <w:pPr>
        <w:pStyle w:val="Heading1"/>
      </w:pPr>
      <w:r>
        <w:t>ОВЗ инвалидность и индивидуальный маршрут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Потребность фиксируется конфиденциально на основании заявления и необходимых документов; диагноз не раскрывается лицам, которым он не нужен для предоставления условий.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Уполномоченное лицо согласует специальные условия для очных занятий, дистанционной части, практики, текущего контроля и ГИА.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Адаптация не снижает результат обучения и требования безопасности. При необходимости утверждается адаптированная программа или индивидуальный план.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Сайт, документы и личный кабинет проектируются с клавиатурной навигацией, контрастом, текстовыми альтернативами и совместимостью со средствами доступа.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Жалоба на недоступность регистрируется, получает владельца и срок устранения; заявитель уведомляется о результате.</w:t>
      </w:r>
    </w:p>
    <w:p>
      <w:pPr>
        <w:pStyle w:val="Heading1"/>
      </w:pPr>
      <w:r>
        <w:t>Чек лист паспорта доступности объекта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маршрут от входа и транспорта, двери, пороги, подъем, санитарное помещение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эвакуация, оповещение, место безопасного ожидания и помощь персонала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аудитории, рабочие места, освещение, акустика и навигация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доступ к практике и альтернативное равноценное решение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контакты ответственного, дата обследования, фото и план устранения барьеров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фактическая доступность общежития либо прямое указание на его отсутствие</w:t>
      </w:r>
    </w:p>
    <w:p>
      <w:pPr>
        <w:pStyle w:val="Heading1"/>
      </w:pPr>
      <w:r>
        <w:t>Язык образования</w:t>
      </w:r>
    </w:p>
    <w:p>
      <w:pPr>
        <w:widowControl/>
      </w:pPr>
      <w:r>
        <w:t>Проектный язык реализации программы — русский. Иностранные источники могут использоваться как учебный материал, но не заменяют доступное изложение программы и оценивание на утвержденном языке образования.</w:t>
      </w:r>
    </w:p>
    <w:p>
      <w:pPr>
        <w:pStyle w:val="Heading1"/>
      </w:pPr>
      <w:r>
        <w:t>Решения до утверждения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Утвердить период программы развития и ответственных владельцев проектов.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Задать измеримые показатели только после фиксации исходного состояния и источника данных.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Связать воспитательные результаты с компетенциями и календарем 40.02.04.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Назначить ответственного за сопровождение лиц с ОВЗ и конфиденциальный канал обращения.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Провести обследование выбранного объекта и утвердить план устранения барьеров.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6. </w:t>
      </w:r>
      <w:r>
        <w:rPr>
          <w:rFonts w:ascii="Arial" w:hAnsi="Arial" w:eastAsia="Arial"/>
          <w:sz w:val="21"/>
        </w:rPr>
        <w:t>Проверить доступность сайта, кабинета, учебных материалов, практики и ГИА с участием пользователей.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Обязанность</w:t>
            </w:r>
          </w:p>
        </w:tc>
        <w:tc>
          <w:tcPr>
            <w:tcW w:type="dxa" w:w="244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программы, ресурсы и владельцев</w:t>
            </w:r>
          </w:p>
        </w:tc>
        <w:tc>
          <w:tcPr>
            <w:tcW w:type="dxa" w:w="244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Педагогический совет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Согласует связь воспитания и ОПОП</w:t>
            </w:r>
          </w:p>
        </w:tc>
        <w:tc>
          <w:tcPr>
            <w:tcW w:type="dxa" w:w="244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Протокол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по доступности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Принимает запросы и контролирует условия</w:t>
            </w:r>
          </w:p>
        </w:tc>
        <w:tc>
          <w:tcPr>
            <w:tcW w:type="dxa" w:w="244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Реестр запросов и акты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Студенческий совет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Участвует в оценке среды</w:t>
            </w:r>
          </w:p>
        </w:tc>
        <w:tc>
          <w:tcPr>
            <w:tcW w:type="dxa" w:w="244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Протокол и план улучшений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