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1100" w:after="360"/>
      </w:pPr>
      <w:r>
        <w:rPr>
          <w:rFonts w:ascii="Arial" w:hAnsi="Arial" w:eastAsia="Arial"/>
          <w:b/>
          <w:color w:val="000000"/>
          <w:sz w:val="58"/>
        </w:rPr>
        <w:t>Правила внутреннего распорядка обучающихся</w:t>
      </w:r>
    </w:p>
    <w:p>
      <w:pPr>
        <w:spacing w:after="520"/>
      </w:pPr>
      <w:r>
        <w:rPr>
          <w:rFonts w:ascii="Arial" w:hAnsi="Arial" w:eastAsia="Arial"/>
          <w:color w:val="666660"/>
          <w:sz w:val="30"/>
        </w:rPr>
        <w:t>Проект локального нормативного акта</w:t>
      </w:r>
    </w:p>
    <w:p>
      <w:pPr>
        <w:spacing w:after="680"/>
      </w:pPr>
      <w:r>
        <w:rPr>
          <w:rFonts w:ascii="Arial" w:hAnsi="Arial" w:eastAsia="Arial"/>
          <w:b/>
          <w:color w:val="C83728"/>
          <w:sz w:val="19"/>
        </w:rPr>
        <w:t>ПРОЕКТ  НЕ УТВЕРЖДЕНО  ПРИЕМ НЕ ВЕДЕТСЯ</w:t>
      </w:r>
    </w:p>
    <w:p>
      <w:pPr>
        <w:spacing w:after="320"/>
      </w:pPr>
      <w:r>
        <w:rPr>
          <w:rFonts w:ascii="Arial" w:hAnsi="Arial" w:eastAsia="Arial"/>
          <w:i/>
          <w:color w:val="666660"/>
          <w:sz w:val="21"/>
        </w:rPr>
        <w:t>Применяется только после утверждения. До открытия приема обучающихся в колледже нет.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Организация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Колледж искусственного образования  проектное наименование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Учредитель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Университет судьба  проектное наименование НКО</w:t>
            </w:r>
          </w:p>
        </w:tc>
      </w:tr>
      <w:tr>
        <w:tc>
          <w:tcPr>
            <w:tcW w:type="dxa" w:w="237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1F0EC"/>
          </w:tcPr>
          <w:p>
            <w:pPr>
              <w:spacing w:after="0"/>
            </w:pPr>
            <w:r>
              <w:rPr>
                <w:rFonts w:ascii="Arial" w:hAnsi="Arial" w:eastAsia="Arial"/>
                <w:b/>
                <w:color w:val="171715"/>
                <w:sz w:val="19"/>
              </w:rPr>
              <w:t>Версия</w:t>
            </w:r>
          </w:p>
        </w:tc>
        <w:tc>
          <w:tcPr>
            <w:tcW w:type="dxa" w:w="7128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</w:pPr>
            <w:r>
              <w:rPr>
                <w:rFonts w:ascii="Arial" w:hAnsi="Arial" w:eastAsia="Arial"/>
                <w:b w:val="0"/>
                <w:color w:val="171715"/>
                <w:sz w:val="19"/>
              </w:rPr>
              <w:t>9 октября 2026 года  рабочая редакция 1</w:t>
            </w:r>
          </w:p>
        </w:tc>
      </w:tr>
    </w:tbl>
    <w:p>
      <w:r>
        <w:br w:type="page"/>
      </w:r>
    </w:p>
    <w:p>
      <w:pPr>
        <w:pStyle w:val="Heading1"/>
      </w:pPr>
      <w:r>
        <w:t>1. Общие положения</w:t>
      </w:r>
    </w:p>
    <w:p>
      <w:pPr>
        <w:widowControl/>
      </w:pPr>
      <w:r>
        <w:t>Правила определяют учебный распорядок, права, обязанности, меры поддержки и порядок реагирования на нарушения. Они распространяются на очные мероприятия и работу в электронной образовательной среде.</w:t>
      </w:r>
    </w:p>
    <w:p>
      <w:pPr>
        <w:widowControl/>
      </w:pPr>
      <w:r>
        <w:t>Очно-заочная форма сочетает занятия по расписанию, синхронные и асинхронные дистанционные активности, практику, консультации и самостоятельную работу. Дистанционный формат не отменяет установленные учебным планом очные элементы.</w:t>
      </w:r>
    </w:p>
    <w:p>
      <w:pPr>
        <w:pStyle w:val="Heading1"/>
      </w:pPr>
      <w:r>
        <w:t>2. Права обучающегося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получать программу, расписание, критерии оценивания и сведения о преподавателе до начала соответствующей деятельности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пользоваться библиотекой, цифровой средой и доступными образовательными ресурсами на равных условиях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получать проверяемую обратную связь, знакомиться с оценкой и подавать мотивированную апелляцию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требовать специальных условий при инвалидности или ограниченных возможностях здоровья в установленном порядке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защищать персональные данные, достоинство и результаты интеллектуальной деятельности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участвовать в управлении колледжем через предусмотренные уставом формы после их создания</w:t>
      </w:r>
    </w:p>
    <w:p>
      <w:pPr>
        <w:pStyle w:val="Heading1"/>
      </w:pPr>
      <w:r>
        <w:t>3. Обязанности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осваивать программу и выполнять индивидуальные задания добросовестно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соблюдать расписание, правила идентификации и сроки уведомления об отсутствии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передавать доступ к личному кабинету и немедленно сообщать о компрометации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соблюдать академическую добросовестность; помощь ИИ раскрывать в объеме, установленном заданием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не публиковать персональные данные, тайну и материалы практических кейсов без законного основания</w:t>
      </w:r>
    </w:p>
    <w:p>
      <w:pPr>
        <w:pStyle w:val="ListBullet"/>
        <w:ind w:left="360" w:hanging="187"/>
      </w:pPr>
      <w:r>
        <w:rPr>
          <w:rFonts w:ascii="Arial" w:hAnsi="Arial" w:eastAsia="Arial"/>
          <w:sz w:val="21"/>
        </w:rPr>
        <w:t>бережно относиться к имуществу и соблюдать требования безопасности</w:t>
      </w:r>
    </w:p>
    <w:p>
      <w:pPr>
        <w:pStyle w:val="Heading1"/>
      </w:pPr>
      <w:r>
        <w:t>4. Учебный распорядок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Проект правила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Расписание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Публикуется в личном кабинете заблаговременно; изменения сопровождаются уведомлением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Посещаемость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Преподаватель фиксирует фактическое присутствие; «Н» и «У» имеют явное основание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Сдача работы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Фиксируются время, версия, автор и технический статус доставки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Консультация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Проводится по опубликованному графику; круглосуточная доступность преподавателя не предполагается</w:t>
            </w:r>
          </w:p>
        </w:tc>
      </w:tr>
      <w:tr>
        <w:trPr>
          <w:cantSplit w:val="true"/>
        </w:trPr>
        <w:tc>
          <w:tcPr>
            <w:tcW w:type="dxa" w:w="259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Технический сбой</w:t>
            </w:r>
          </w:p>
        </w:tc>
        <w:tc>
          <w:tcPr>
            <w:tcW w:type="dxa" w:w="705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Обучающийся сообщает в течение одного рабочего дня; журнал события сохраняется</w:t>
            </w:r>
          </w:p>
        </w:tc>
      </w:tr>
    </w:tbl>
    <w:p>
      <w:pPr>
        <w:spacing w:after="40"/>
      </w:pPr>
    </w:p>
    <w:p>
      <w:pPr>
        <w:pStyle w:val="Heading1"/>
      </w:pPr>
      <w:r>
        <w:t>5. Поощрения, нарушения и обжалование</w:t>
      </w:r>
    </w:p>
    <w:p>
      <w:pPr>
        <w:widowControl/>
      </w:pPr>
      <w:r>
        <w:t>Любая мера воздействия применяется соразмерно, после получения объяснения и фиксации фактов. Автоматическое решение информационной системы не заменяет решение уполномоченного лица.</w:t>
      </w:r>
    </w:p>
    <w:p>
      <w:pPr>
        <w:widowControl/>
      </w:pPr>
      <w:r>
        <w:t>Обучающийся может обжаловать оценку, действие преподавателя или дисциплинарную меру в комиссию по урегулированию споров. Состав, сроки и канал подачи утверждаются отдельным актом до начала обучения.</w:t>
      </w:r>
    </w:p>
    <w:p>
      <w:pPr>
        <w:pStyle w:val="Heading2"/>
      </w:pPr>
      <w:r>
        <w:t>Карточка утверждения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 w:val="true"/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center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Реквизит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30" w:type="dxa"/>
              <w:start w:w="120" w:type="dxa"/>
              <w:bottom w:w="130" w:type="dxa"/>
              <w:end w:w="120" w:type="dxa"/>
            </w:tcMar>
            <w:shd w:fill="2B2B29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b/>
                <w:color w:val="FFFFFF"/>
                <w:sz w:val="18"/>
              </w:rPr>
              <w:t>Заполняется при утверждении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Уполномоченный орган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Номер и дата решения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Дата вступления в силу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Электронная подпись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  <w:shd w:fill="F6F6F3"/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После регистрации организации и подключения квалифицированного процесса подписания</w:t>
            </w:r>
          </w:p>
        </w:tc>
      </w:tr>
      <w:tr>
        <w:trPr>
          <w:cantSplit w:val="true"/>
        </w:trPr>
        <w:tc>
          <w:tcPr>
            <w:tcW w:type="dxa" w:w="3312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  <w:t>Ответственный за публикацию</w:t>
            </w:r>
          </w:p>
        </w:tc>
        <w:tc>
          <w:tcPr>
            <w:tcW w:type="dxa" w:w="6336"/>
            <w:vAlign w:val="center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  <w:insideH w:val="single" w:sz="6" w:color="D9D9D9"/>
              <w:insideV w:val="single" w:sz="6" w:color="D9D9D9"/>
            </w:tcBorders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 w:eastAsia="Arial"/>
                <w:color w:val="171715"/>
                <w:sz w:val="17"/>
              </w:rPr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color w:val="666660"/>
        <w:sz w:val="16"/>
      </w:rPr>
      <w:t xml:space="preserve">Проект для согласования  |  Колледж искусственного образования  |  </w:t>
    </w:r>
    <w:fldSimple w:instr="PAGE">
      <w:r>
        <w:rPr>
          <w:color w:val="666660"/>
          <w:sz w:val="16"/>
        </w:rPr>
        <w:t>1</w:t>
      </w:r>
    </w:fldSimple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17171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4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