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1100" w:after="360"/>
      </w:pPr>
      <w:r>
        <w:rPr>
          <w:rFonts w:ascii="Arial" w:hAnsi="Arial" w:eastAsia="Arial"/>
          <w:b/>
          <w:color w:val="000000"/>
          <w:sz w:val="58"/>
        </w:rPr>
        <w:t>Правила внутреннего трудового распорядка</w:t>
      </w:r>
    </w:p>
    <w:p>
      <w:pPr>
        <w:spacing w:after="520"/>
      </w:pPr>
      <w:r>
        <w:rPr>
          <w:rFonts w:ascii="Arial" w:hAnsi="Arial" w:eastAsia="Arial"/>
          <w:color w:val="666660"/>
          <w:sz w:val="30"/>
        </w:rPr>
        <w:t>Проект для практикующих преподавателей и иных работников</w:t>
      </w:r>
    </w:p>
    <w:p>
      <w:pPr>
        <w:spacing w:after="680"/>
      </w:pPr>
      <w:r>
        <w:rPr>
          <w:rFonts w:ascii="Arial" w:hAnsi="Arial" w:eastAsia="Arial"/>
          <w:b/>
          <w:color w:val="C83728"/>
          <w:sz w:val="19"/>
        </w:rPr>
        <w:t>ПРОЕКТ  НЕ УТВЕРЖДЕНО  ПРИЕМ НЕ ВЕДЕТСЯ</w:t>
      </w:r>
    </w:p>
    <w:p>
      <w:pPr>
        <w:spacing w:after="320"/>
      </w:pPr>
      <w:r>
        <w:rPr>
          <w:rFonts w:ascii="Arial" w:hAnsi="Arial" w:eastAsia="Arial"/>
          <w:i/>
          <w:color w:val="666660"/>
          <w:sz w:val="21"/>
        </w:rPr>
        <w:t>Проект не является работодателемским актом до регистрации колледжа, учета мнения представительного органа работников при его наличии и утверждения.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37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1F0EC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71715"/>
                <w:sz w:val="19"/>
              </w:rPr>
              <w:t>Организация</w:t>
            </w:r>
          </w:p>
        </w:tc>
        <w:tc>
          <w:tcPr>
            <w:tcW w:type="dxa" w:w="712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171715"/>
                <w:sz w:val="19"/>
              </w:rPr>
              <w:t>Колледж искусственного образования  проектное наименование</w:t>
            </w:r>
          </w:p>
        </w:tc>
      </w:tr>
      <w:tr>
        <w:tc>
          <w:tcPr>
            <w:tcW w:type="dxa" w:w="237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1F0EC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71715"/>
                <w:sz w:val="19"/>
              </w:rPr>
              <w:t>Учредитель</w:t>
            </w:r>
          </w:p>
        </w:tc>
        <w:tc>
          <w:tcPr>
            <w:tcW w:type="dxa" w:w="712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171715"/>
                <w:sz w:val="19"/>
              </w:rPr>
              <w:t>Университет судьба  проектное наименование НКО</w:t>
            </w:r>
          </w:p>
        </w:tc>
      </w:tr>
      <w:tr>
        <w:tc>
          <w:tcPr>
            <w:tcW w:type="dxa" w:w="237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1F0EC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71715"/>
                <w:sz w:val="19"/>
              </w:rPr>
              <w:t>Версия</w:t>
            </w:r>
          </w:p>
        </w:tc>
        <w:tc>
          <w:tcPr>
            <w:tcW w:type="dxa" w:w="712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171715"/>
                <w:sz w:val="19"/>
              </w:rPr>
              <w:t>9 октября 2026 года  рабочая редакция 1</w:t>
            </w:r>
          </w:p>
        </w:tc>
      </w:tr>
    </w:tbl>
    <w:p>
      <w:r>
        <w:br w:type="page"/>
      </w:r>
    </w:p>
    <w:p>
      <w:pPr>
        <w:pStyle w:val="Heading1"/>
      </w:pPr>
      <w:r>
        <w:t>Принципы</w:t>
      </w:r>
    </w:p>
    <w:p>
      <w:pPr>
        <w:pStyle w:val="ListBullet"/>
        <w:ind w:left="360" w:hanging="187"/>
      </w:pPr>
      <w:r>
        <w:rPr>
          <w:rFonts w:ascii="Arial" w:hAnsi="Arial" w:eastAsia="Arial"/>
          <w:sz w:val="21"/>
        </w:rPr>
        <w:t>трудовые отношения оформляются до допуска к работе; гражданско-правовой договор не маскирует трудовые отношения</w:t>
      </w:r>
    </w:p>
    <w:p>
      <w:pPr>
        <w:pStyle w:val="ListBullet"/>
        <w:ind w:left="360" w:hanging="187"/>
      </w:pPr>
      <w:r>
        <w:rPr>
          <w:rFonts w:ascii="Arial" w:hAnsi="Arial" w:eastAsia="Arial"/>
          <w:sz w:val="21"/>
        </w:rPr>
        <w:t>учебная нагрузка, методическая работа, консультации, контроль и практика фиксируются в договоре и локальных актах</w:t>
      </w:r>
    </w:p>
    <w:p>
      <w:pPr>
        <w:pStyle w:val="ListBullet"/>
        <w:ind w:left="360" w:hanging="187"/>
      </w:pPr>
      <w:r>
        <w:rPr>
          <w:rFonts w:ascii="Arial" w:hAnsi="Arial" w:eastAsia="Arial"/>
          <w:sz w:val="21"/>
        </w:rPr>
        <w:t>дистанционная работа и использование Препод.тех не означают постоянную доступность работника</w:t>
      </w:r>
    </w:p>
    <w:p>
      <w:pPr>
        <w:pStyle w:val="ListBullet"/>
        <w:ind w:left="360" w:hanging="187"/>
      </w:pPr>
      <w:r>
        <w:rPr>
          <w:rFonts w:ascii="Arial" w:hAnsi="Arial" w:eastAsia="Arial"/>
          <w:sz w:val="21"/>
        </w:rPr>
        <w:t>практический опыт преподавателя подтверждается документами и актуализируется; рекламная формулировка не заменяет квалификационную проверку</w:t>
      </w:r>
    </w:p>
    <w:p>
      <w:pPr>
        <w:pStyle w:val="ListBullet"/>
        <w:ind w:left="360" w:hanging="187"/>
      </w:pPr>
      <w:r>
        <w:rPr>
          <w:rFonts w:ascii="Arial" w:hAnsi="Arial" w:eastAsia="Arial"/>
          <w:sz w:val="21"/>
        </w:rPr>
        <w:t>все работники соблюдают конфиденциальность, правила обработки персональных данных и информационной безопасности</w:t>
      </w:r>
    </w:p>
    <w:p>
      <w:pPr>
        <w:pStyle w:val="Heading1"/>
      </w:pPr>
      <w:r>
        <w:t>Прием, изменение и прекращение работы</w:t>
      </w:r>
    </w:p>
    <w:p>
      <w:pPr>
        <w:ind w:left="432" w:hanging="432"/>
      </w:pPr>
      <w:r>
        <w:rPr>
          <w:rFonts w:ascii="Arial" w:hAnsi="Arial" w:eastAsia="Arial"/>
          <w:b/>
          <w:color w:val="C83728"/>
          <w:sz w:val="21"/>
        </w:rPr>
        <w:t xml:space="preserve">1. </w:t>
      </w:r>
      <w:r>
        <w:rPr>
          <w:rFonts w:ascii="Arial" w:hAnsi="Arial" w:eastAsia="Arial"/>
          <w:sz w:val="21"/>
        </w:rPr>
        <w:t>Проверить личность, образование, квалификацию, ограничения и практический опыт в применимой профессиональной сфере.</w:t>
      </w:r>
    </w:p>
    <w:p>
      <w:pPr>
        <w:ind w:left="432" w:hanging="432"/>
      </w:pPr>
      <w:r>
        <w:rPr>
          <w:rFonts w:ascii="Arial" w:hAnsi="Arial" w:eastAsia="Arial"/>
          <w:b/>
          <w:color w:val="C83728"/>
          <w:sz w:val="21"/>
        </w:rPr>
        <w:t xml:space="preserve">2. </w:t>
      </w:r>
      <w:r>
        <w:rPr>
          <w:rFonts w:ascii="Arial" w:hAnsi="Arial" w:eastAsia="Arial"/>
          <w:sz w:val="21"/>
        </w:rPr>
        <w:t>Заключить трудовой договор и ознакомить с локальными актами до начала работы.</w:t>
      </w:r>
    </w:p>
    <w:p>
      <w:pPr>
        <w:ind w:left="432" w:hanging="432"/>
      </w:pPr>
      <w:r>
        <w:rPr>
          <w:rFonts w:ascii="Arial" w:hAnsi="Arial" w:eastAsia="Arial"/>
          <w:b/>
          <w:color w:val="C83728"/>
          <w:sz w:val="21"/>
        </w:rPr>
        <w:t xml:space="preserve">3. </w:t>
      </w:r>
      <w:r>
        <w:rPr>
          <w:rFonts w:ascii="Arial" w:hAnsi="Arial" w:eastAsia="Arial"/>
          <w:sz w:val="21"/>
        </w:rPr>
        <w:t>Оформить приказ, учетную запись и минимально необходимые права доступа.</w:t>
      </w:r>
    </w:p>
    <w:p>
      <w:pPr>
        <w:ind w:left="432" w:hanging="432"/>
      </w:pPr>
      <w:r>
        <w:rPr>
          <w:rFonts w:ascii="Arial" w:hAnsi="Arial" w:eastAsia="Arial"/>
          <w:b/>
          <w:color w:val="C83728"/>
          <w:sz w:val="21"/>
        </w:rPr>
        <w:t xml:space="preserve">4. </w:t>
      </w:r>
      <w:r>
        <w:rPr>
          <w:rFonts w:ascii="Arial" w:hAnsi="Arial" w:eastAsia="Arial"/>
          <w:sz w:val="21"/>
        </w:rPr>
        <w:t>При изменении нагрузки оформить основание и уведомление в установленном порядке.</w:t>
      </w:r>
    </w:p>
    <w:p>
      <w:pPr>
        <w:ind w:left="432" w:hanging="432"/>
      </w:pPr>
      <w:r>
        <w:rPr>
          <w:rFonts w:ascii="Arial" w:hAnsi="Arial" w:eastAsia="Arial"/>
          <w:b/>
          <w:color w:val="C83728"/>
          <w:sz w:val="21"/>
        </w:rPr>
        <w:t xml:space="preserve">5. </w:t>
      </w:r>
      <w:r>
        <w:rPr>
          <w:rFonts w:ascii="Arial" w:hAnsi="Arial" w:eastAsia="Arial"/>
          <w:sz w:val="21"/>
        </w:rPr>
        <w:t>При прекращении отношений своевременно отозвать доступ, принять документы и сохранить обязательные учебные записи.</w:t>
      </w:r>
    </w:p>
    <w:p>
      <w:pPr>
        <w:pStyle w:val="Heading1"/>
      </w:pPr>
      <w:r>
        <w:t>Рабочее время и цифровая среда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320"/>
        <w:gridCol w:w="4320"/>
      </w:tblGrid>
      <w:tr>
        <w:trPr>
          <w:tblHeader w:val="true"/>
          <w:cantSplit w:val="true"/>
        </w:trPr>
        <w:tc>
          <w:tcPr>
            <w:tcW w:type="dxa" w:w="252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Область</w:t>
            </w:r>
          </w:p>
        </w:tc>
        <w:tc>
          <w:tcPr>
            <w:tcW w:type="dxa" w:w="712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Проект правила</w:t>
            </w:r>
          </w:p>
        </w:tc>
      </w:tr>
      <w:tr>
        <w:trPr>
          <w:cantSplit w:val="true"/>
        </w:trPr>
        <w:tc>
          <w:tcPr>
            <w:tcW w:type="dxa" w:w="252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Расписание</w:t>
            </w:r>
          </w:p>
        </w:tc>
        <w:tc>
          <w:tcPr>
            <w:tcW w:type="dxa" w:w="712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Учитывает учебную нагрузку и нормы отдыха; изменения согласуются и журналируются</w:t>
            </w:r>
          </w:p>
        </w:tc>
      </w:tr>
      <w:tr>
        <w:trPr>
          <w:cantSplit w:val="true"/>
        </w:trPr>
        <w:tc>
          <w:tcPr>
            <w:tcW w:type="dxa" w:w="252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Связь</w:t>
            </w:r>
          </w:p>
        </w:tc>
        <w:tc>
          <w:tcPr>
            <w:tcW w:type="dxa" w:w="712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Рабочие каналы и часы ответа определяются договором и расписанием</w:t>
            </w:r>
          </w:p>
        </w:tc>
      </w:tr>
      <w:tr>
        <w:trPr>
          <w:cantSplit w:val="true"/>
        </w:trPr>
        <w:tc>
          <w:tcPr>
            <w:tcW w:type="dxa" w:w="252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Препод.тех</w:t>
            </w:r>
          </w:p>
        </w:tc>
        <w:tc>
          <w:tcPr>
            <w:tcW w:type="dxa" w:w="712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Оценки и посещаемость вносятся лично, исправления имеют основание и историю</w:t>
            </w:r>
          </w:p>
        </w:tc>
      </w:tr>
      <w:tr>
        <w:trPr>
          <w:cantSplit w:val="true"/>
        </w:trPr>
        <w:tc>
          <w:tcPr>
            <w:tcW w:type="dxa" w:w="252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Учебные кейсы</w:t>
            </w:r>
          </w:p>
        </w:tc>
        <w:tc>
          <w:tcPr>
            <w:tcW w:type="dxa" w:w="712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Используются обезличенные материалы или открытые источники</w:t>
            </w:r>
          </w:p>
        </w:tc>
      </w:tr>
      <w:tr>
        <w:trPr>
          <w:cantSplit w:val="true"/>
        </w:trPr>
        <w:tc>
          <w:tcPr>
            <w:tcW w:type="dxa" w:w="252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ИИ</w:t>
            </w:r>
          </w:p>
        </w:tc>
        <w:tc>
          <w:tcPr>
            <w:tcW w:type="dxa" w:w="712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Запрещено передавать провайдеру персональные данные, тайну и неразрешенные работы обучающихся</w:t>
            </w:r>
          </w:p>
        </w:tc>
      </w:tr>
      <w:tr>
        <w:trPr>
          <w:cantSplit w:val="true"/>
        </w:trPr>
        <w:tc>
          <w:tcPr>
            <w:tcW w:type="dxa" w:w="2520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Инцидент</w:t>
            </w:r>
          </w:p>
        </w:tc>
        <w:tc>
          <w:tcPr>
            <w:tcW w:type="dxa" w:w="712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О потере доступа, ошибочной публикации или утечке сообщается немедленно по утвержденному каналу</w:t>
            </w:r>
          </w:p>
        </w:tc>
      </w:tr>
    </w:tbl>
    <w:p>
      <w:pPr>
        <w:spacing w:after="40"/>
      </w:pPr>
    </w:p>
    <w:p>
      <w:pPr>
        <w:pStyle w:val="Heading1"/>
      </w:pPr>
      <w:r>
        <w:t>Ответственность и разрешение споров</w:t>
      </w:r>
    </w:p>
    <w:p>
      <w:pPr>
        <w:widowControl/>
      </w:pPr>
      <w:r>
        <w:t>Поощрения и дисциплинарные взыскания применяются в порядке трудового законодательства. Система аналитики или журнал событий служат доказательством, но не принимают кадровое решение автоматически.</w:t>
      </w:r>
    </w:p>
    <w:p>
      <w:pPr>
        <w:widowControl/>
      </w:pPr>
      <w:r>
        <w:t>Конфликт интересов преподавателя, связанный с практической деятельностью, клиентом, органом власти или оцениванием обучающегося, раскрывается руководителю до принятия решения.</w:t>
      </w:r>
    </w:p>
    <w:p>
      <w:pPr>
        <w:pStyle w:val="Heading2"/>
      </w:pPr>
      <w:r>
        <w:t>Карточка утверждения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320"/>
        <w:gridCol w:w="4320"/>
      </w:tblGrid>
      <w:tr>
        <w:trPr>
          <w:tblHeader w:val="true"/>
          <w:cantSplit w:val="true"/>
        </w:trPr>
        <w:tc>
          <w:tcPr>
            <w:tcW w:type="dxa" w:w="331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Реквизит</w:t>
            </w:r>
          </w:p>
        </w:tc>
        <w:tc>
          <w:tcPr>
            <w:tcW w:type="dxa" w:w="63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Заполняется при утверждении</w:t>
            </w:r>
          </w:p>
        </w:tc>
      </w:tr>
      <w:tr>
        <w:trPr>
          <w:cantSplit w:val="true"/>
        </w:trPr>
        <w:tc>
          <w:tcPr>
            <w:tcW w:type="dxa" w:w="331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Уполномоченный орган</w:t>
            </w:r>
          </w:p>
        </w:tc>
        <w:tc>
          <w:tcPr>
            <w:tcW w:type="dxa" w:w="63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331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Номер и дата решения</w:t>
            </w:r>
          </w:p>
        </w:tc>
        <w:tc>
          <w:tcPr>
            <w:tcW w:type="dxa" w:w="63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331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Дата вступления в силу</w:t>
            </w:r>
          </w:p>
        </w:tc>
        <w:tc>
          <w:tcPr>
            <w:tcW w:type="dxa" w:w="63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331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Электронная подпись</w:t>
            </w:r>
          </w:p>
        </w:tc>
        <w:tc>
          <w:tcPr>
            <w:tcW w:type="dxa" w:w="63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После регистрации организации и подключения квалифицированного процесса подписания</w:t>
            </w:r>
          </w:p>
        </w:tc>
      </w:tr>
      <w:tr>
        <w:trPr>
          <w:cantSplit w:val="true"/>
        </w:trPr>
        <w:tc>
          <w:tcPr>
            <w:tcW w:type="dxa" w:w="331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Ответственный за публикацию</w:t>
            </w:r>
          </w:p>
        </w:tc>
        <w:tc>
          <w:tcPr>
            <w:tcW w:type="dxa" w:w="63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2240" w:h="15840"/>
      <w:pgMar w:top="1037" w:right="1152" w:bottom="1037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/>
        <w:color w:val="666660"/>
        <w:sz w:val="16"/>
      </w:rPr>
      <w:t xml:space="preserve">Проект для согласования  |  Колледж искусственного образования  |  </w:t>
    </w:r>
    <w:fldSimple w:instr="PAGE">
      <w:r>
        <w:rPr>
          <w:color w:val="666660"/>
          <w:sz w:val="16"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17171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4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