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Положение о текущем контроле и промежуточной аттестации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прозрачного оценивания в очно-заочной и цифровой среде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Конкретные формы контроля, часы и компетенции вступают в силу только вместе с утвержденным учебным планом и рабочими программами.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Общие принципы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критерии, шкала, срок и допустимые инструменты публикуются до выдачи задания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оценивается заявленный результат обучения, а не личность обучающегося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значимая оценка подтверждается работой, протоколом или иным проверяемым следом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автоматическая рекомендация не является итоговой оценкой без проверки преподавателем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для обучающихся с инвалидностью и ОВЗ предусматриваются разумные специальные условия без снижения результата обучения</w:t>
      </w:r>
    </w:p>
    <w:p>
      <w:pPr>
        <w:pStyle w:val="Heading1"/>
      </w:pPr>
      <w:r>
        <w:t>Формы контроля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Формы</w:t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Фиксация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Текущий контроль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Практическое задание, тест, устный разбор, документ, проект, наблюдение</w:t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Работа, критерии, оценка и комментарий в Препод.тех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Промежуточная аттестация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Зачет, дифференцированный зачет, экзамен, экзамен по модулю</w:t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Ведомость, протокол и история исправлений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Практика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Дневник, отчет, продукт работы, отзыв базы практики и защита</w:t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Комплект практики и решение комиссии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Комплексный результат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Кейс, портфолио, проект и защита</w:t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Рубрика по компетенциям и протокол</w:t>
            </w:r>
          </w:p>
        </w:tc>
      </w:tr>
    </w:tbl>
    <w:p>
      <w:pPr>
        <w:spacing w:after="40"/>
      </w:pPr>
    </w:p>
    <w:p>
      <w:pPr>
        <w:pStyle w:val="Heading1"/>
      </w:pPr>
      <w:r>
        <w:t>Оценочная шкала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Оценка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Смысл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 — отлично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 полный, точный, обоснованный; существенные ошибки отсутствуют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 — хорошо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 достигнут; имеются отдельные некритические недочеты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 — удовлетворительно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Минимальный результат достигнут; требуется корректировка существенных элементов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 — неудовлетворительно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Обязательный результат не подтвержден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Зачтено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Установленные критерии выполнены</w:t>
            </w:r>
          </w:p>
        </w:tc>
      </w:tr>
    </w:tbl>
    <w:p>
      <w:pPr>
        <w:spacing w:after="40"/>
      </w:pPr>
    </w:p>
    <w:p>
      <w:pPr>
        <w:pStyle w:val="Heading1"/>
      </w:pPr>
      <w:r>
        <w:t>Пересдача и апелляция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Преподаватель публикует результат и проверяемое объяснение.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Обучающийся в установленный срок запрашивает ознакомление и указывает конкретный оспариваемый критерий.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Повторная сдача проводится по равноценному заданию; число попыток и сроки определяются графиком ликвидации задолженности.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Апелляцию рассматривает комиссия без лица, чье решение обжалуется; результат оформляется протоколом.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Исправление оценки сохраняет прежнее значение, основание, автора и время изменения.</w:t>
      </w:r>
    </w:p>
    <w:p>
      <w:pPr>
        <w:pStyle w:val="Heading1"/>
      </w:pPr>
      <w:r>
        <w:t>Дистанционная идентификация</w:t>
      </w:r>
    </w:p>
    <w:p>
      <w:pPr>
        <w:widowControl/>
      </w:pPr>
      <w:r>
        <w:t>Идентификация должна быть соразмерной риску: учетная запись, одноразовый код, устная проверка или очная защита. Непрерывная биометрическая слежка не применяется без отдельного законного основания и оценки воздействия.</w:t>
      </w:r>
    </w:p>
    <w:p>
      <w:pPr>
        <w:widowControl/>
      </w:pPr>
      <w:r>
        <w:t>Технический сбой не приравнивается автоматически к неявке или нарушению. Событие проверяется по журналам, после чего назначается продолжение или резервная попытка.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