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Сведения об образовании и контингенте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Язык, численность, прием, перевод, восстановление и отчисление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Электронный документ фиксирует нулевые показатели проекта. После начала деятельности он заменяется отчетом из официальной системы учета.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Фактический статус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Значение на 9 октября 2026 года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Язык проектируемой программы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Русский; локальное решение не утверждено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Реализуемые программы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Отсутствуют: лицензия не получена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Обучающиеся — федеральный бюджет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Обучающиеся — бюджет субъекта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Обучающиеся — местный бюджет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Обучающиеся — договоры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Иностранные граждане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Принято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0; прием не объявлялся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Переведено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Восстановлено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Отчислено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Выпускники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Трудоустроено выпускников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0; выпусков не было</w:t>
            </w:r>
          </w:p>
        </w:tc>
      </w:tr>
      <w:tr>
        <w:trPr>
          <w:cantSplit w:val="true"/>
        </w:trPr>
        <w:tc>
          <w:tcPr>
            <w:tcW w:type="dxa" w:w="45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Государственная аккредитация</w:t>
            </w:r>
          </w:p>
        </w:tc>
        <w:tc>
          <w:tcPr>
            <w:tcW w:type="dxa" w:w="51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Отсутствует</w:t>
            </w:r>
          </w:p>
        </w:tc>
      </w:tr>
    </w:tbl>
    <w:p>
      <w:pPr>
        <w:spacing w:after="40"/>
      </w:pPr>
    </w:p>
    <w:p>
      <w:pPr>
        <w:pStyle w:val="Heading1"/>
      </w:pPr>
      <w:r>
        <w:t>После открытия программы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выгружать показатели по каждой программе, форме и источнику финансирования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раздельно учитывать прием, перевод, восстановление, отчисление и трудоустройство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сверять публикацию с приказами и официальным реестром, а не с демонстрационными записями платформы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публиковать новую редакцию не позднее 10 рабочих дней после изменения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раскрывать персональные данные в агрегированных сведениях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