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Самообследование и сведения о предписаниях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 структуры отчета и фактический статус до начала деятельности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Полный отчет о результатах самообследования формируется за отчетный период после начала деятельности. Настоящий файл не подменяет такой отчет.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Статус на дату документа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Вопрос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Ответ</w:t>
            </w:r>
          </w:p>
        </w:tc>
      </w:tr>
      <w:tr>
        <w:trPr>
          <w:cantSplit w:val="true"/>
        </w:trPr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Юридическое лицо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зарегистрировано</w:t>
            </w:r>
          </w:p>
        </w:tc>
      </w:tr>
      <w:tr>
        <w:trPr>
          <w:cantSplit w:val="true"/>
        </w:trPr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Лицензия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Отсутствует</w:t>
            </w:r>
          </w:p>
        </w:tc>
      </w:tr>
      <w:tr>
        <w:trPr>
          <w:cantSplit w:val="true"/>
        </w:trPr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Образовательная деятельность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ведется</w:t>
            </w:r>
          </w:p>
        </w:tc>
      </w:tr>
      <w:tr>
        <w:trPr>
          <w:cantSplit w:val="true"/>
        </w:trPr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Обучающиеся и выпускники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Отсутствуют</w:t>
            </w:r>
          </w:p>
        </w:tc>
      </w:tr>
      <w:tr>
        <w:trPr>
          <w:cantSplit w:val="true"/>
        </w:trPr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Отчетный период с показателями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наступил</w:t>
            </w:r>
          </w:p>
        </w:tc>
      </w:tr>
      <w:tr>
        <w:trPr>
          <w:cantSplit w:val="true"/>
        </w:trPr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Предписания органов надзора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Отсутствуют; надзорные мероприятия в отношении создаваемой организации не зафиксированы</w:t>
            </w:r>
          </w:p>
        </w:tc>
      </w:tr>
      <w:tr>
        <w:trPr>
          <w:cantSplit w:val="true"/>
        </w:trPr>
        <w:tc>
          <w:tcPr>
            <w:tcW w:type="dxa" w:w="43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Отчеты об исполнении предписаний</w:t>
            </w:r>
          </w:p>
        </w:tc>
        <w:tc>
          <w:tcPr>
            <w:tcW w:type="dxa" w:w="53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применяются</w:t>
            </w:r>
          </w:p>
        </w:tc>
      </w:tr>
    </w:tbl>
    <w:p>
      <w:pPr>
        <w:spacing w:after="40"/>
      </w:pPr>
    </w:p>
    <w:p>
      <w:pPr>
        <w:pStyle w:val="Heading1"/>
      </w:pPr>
      <w:r>
        <w:t>Структура будущего самообследования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Общие сведения, система управления и нормативное обеспечение.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Образовательная деятельность: программы, контингент, результаты и качество.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Организация учебного процесса и применение ЭО/ДОТ.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Кадровое обеспечение, практический опыт и повышение квалификации.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Материально-техническая база, библиотека, цифровая среда и доступность.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6. </w:t>
      </w:r>
      <w:r>
        <w:rPr>
          <w:rFonts w:ascii="Arial" w:hAnsi="Arial" w:eastAsia="Arial"/>
          <w:sz w:val="21"/>
        </w:rPr>
        <w:t>Воспитательная работа, охрана здоровья и меры поддержки.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7. </w:t>
      </w:r>
      <w:r>
        <w:rPr>
          <w:rFonts w:ascii="Arial" w:hAnsi="Arial" w:eastAsia="Arial"/>
          <w:sz w:val="21"/>
        </w:rPr>
        <w:t>Финансово-хозяйственная деятельность и устойчивость.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8. </w:t>
      </w:r>
      <w:r>
        <w:rPr>
          <w:rFonts w:ascii="Arial" w:hAnsi="Arial" w:eastAsia="Arial"/>
          <w:sz w:val="21"/>
        </w:rPr>
        <w:t>Показатели, проблемы, корректирующие действия, владельцы и сроки.</w:t>
      </w:r>
    </w:p>
    <w:p>
      <w:pPr>
        <w:pStyle w:val="Heading1"/>
      </w:pPr>
      <w:r>
        <w:t>Контроль доказательств</w:t>
      </w:r>
    </w:p>
    <w:p>
      <w:pPr>
        <w:widowControl/>
      </w:pPr>
      <w:r>
        <w:t>Каждый вывод будущего отчета должен ссылаться на проверяемые первичные сведения. Маркетинговые обещания, тестовые данные Препод.тех и неподписанные проекты документов не считаются доказательством фактической деятельности.</w:t>
      </w:r>
    </w:p>
    <w:p>
      <w:pPr>
        <w:pStyle w:val="Heading2"/>
      </w:pPr>
      <w:r>
        <w:t>Карточка утверждения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Заполняется при утверждении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Уполномоченный орган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Номер и дата решения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вступления в силу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Электронная подпись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регистрации организации и подключения квалифицированного процесса подписания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публикацию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