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100" w:after="360"/>
      </w:pPr>
      <w:r>
        <w:rPr>
          <w:rFonts w:ascii="Arial" w:hAnsi="Arial" w:eastAsia="Arial"/>
          <w:b/>
          <w:color w:val="000000"/>
          <w:sz w:val="58"/>
        </w:rPr>
        <w:t>Публичные статусы обязательных подразделов</w:t>
      </w:r>
    </w:p>
    <w:p>
      <w:pPr>
        <w:spacing w:after="520"/>
      </w:pPr>
      <w:r>
        <w:rPr>
          <w:rFonts w:ascii="Arial" w:hAnsi="Arial" w:eastAsia="Arial"/>
          <w:color w:val="666660"/>
          <w:sz w:val="30"/>
        </w:rPr>
        <w:t>Руководство, кадры, объекты, финансы, поддержка, международные связи и питание</w:t>
      </w:r>
    </w:p>
    <w:p>
      <w:pPr>
        <w:spacing w:after="680"/>
      </w:pPr>
      <w:r>
        <w:rPr>
          <w:rFonts w:ascii="Arial" w:hAnsi="Arial" w:eastAsia="Arial"/>
          <w:b/>
          <w:color w:val="C83728"/>
          <w:sz w:val="19"/>
        </w:rPr>
        <w:t>ПРОЕКТ  НЕ УТВЕРЖДЕНО  ПРИЕМ НЕ ВЕДЕТСЯ</w:t>
      </w:r>
    </w:p>
    <w:p>
      <w:pPr>
        <w:spacing w:after="320"/>
      </w:pPr>
      <w:r>
        <w:rPr>
          <w:rFonts w:ascii="Arial" w:hAnsi="Arial" w:eastAsia="Arial"/>
          <w:i/>
          <w:color w:val="666660"/>
          <w:sz w:val="21"/>
        </w:rPr>
        <w:t>Документ фиксирует отсутствие сведений, которые нельзя заполнять предположениями. Он подлежит замене после каждого подтвержденного изменения.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Организация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Колледж искусственного образования  проектное наименование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Учредитель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Университет судьба  проектное наименование НКО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Версия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9 октября 2026 года  рабочая редакция 1</w:t>
            </w:r>
          </w:p>
        </w:tc>
      </w:tr>
    </w:tbl>
    <w:p>
      <w:r>
        <w:br w:type="page"/>
      </w:r>
    </w:p>
    <w:p>
      <w:pPr>
        <w:pStyle w:val="Heading1"/>
      </w:pPr>
      <w:r>
        <w:t>Сводная таблица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  <w:cantSplit w:val="true"/>
        </w:trP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Подраздел</w:t>
            </w:r>
          </w:p>
        </w:tc>
        <w:tc>
          <w:tcPr>
            <w:tcW w:type="dxa" w:w="38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Фактический статус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Действие до открытия</w:t>
            </w:r>
          </w:p>
        </w:tc>
      </w:tr>
      <w:tr>
        <w:trPr>
          <w:cantSplit w:val="true"/>
        </w:trP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Руководство</w:t>
            </w:r>
          </w:p>
        </w:tc>
        <w:tc>
          <w:tcPr>
            <w:tcW w:type="dxa" w:w="38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Руководитель и заместители не назначены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Оформить полномочия и контакты</w:t>
            </w:r>
          </w:p>
        </w:tc>
      </w:tr>
      <w:tr>
        <w:trPr>
          <w:cantSplit w:val="true"/>
        </w:trP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Педагогический состав</w:t>
            </w:r>
          </w:p>
        </w:tc>
        <w:tc>
          <w:tcPr>
            <w:tcW w:type="dxa" w:w="38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Работники не назначены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Проверить образование, квалификацию и практический опыт</w:t>
            </w:r>
          </w:p>
        </w:tc>
      </w:tr>
      <w:tr>
        <w:trPr>
          <w:cantSplit w:val="true"/>
        </w:trP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Материальная база</w:t>
            </w:r>
          </w:p>
        </w:tc>
        <w:tc>
          <w:tcPr>
            <w:tcW w:type="dxa" w:w="38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Площадки, кабинеты, библиотека и объекты практики не определены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Получить законные основания и провести обследование</w:t>
            </w:r>
          </w:p>
        </w:tc>
      </w:tr>
      <w:tr>
        <w:trPr>
          <w:cantSplit w:val="true"/>
        </w:trP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Доступная среда</w:t>
            </w:r>
          </w:p>
        </w:tc>
        <w:tc>
          <w:tcPr>
            <w:tcW w:type="dxa" w:w="38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Специальные условия не подтверждены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Разработать паспорт доступности и план устранения барьеров</w:t>
            </w:r>
          </w:p>
        </w:tc>
      </w:tr>
      <w:tr>
        <w:trPr>
          <w:cantSplit w:val="true"/>
        </w:trP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Платные услуги</w:t>
            </w:r>
          </w:p>
        </w:tc>
        <w:tc>
          <w:tcPr>
            <w:tcW w:type="dxa" w:w="38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Не оказываются; стоимость не утверждена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Утвердить порядок, форму договора и стоимость после расчета</w:t>
            </w:r>
          </w:p>
        </w:tc>
      </w:tr>
      <w:tr>
        <w:trPr>
          <w:cantSplit w:val="true"/>
        </w:trP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Финансы</w:t>
            </w:r>
          </w:p>
        </w:tc>
        <w:tc>
          <w:tcPr>
            <w:tcW w:type="dxa" w:w="38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Образовательная деятельность: 0 рублей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Сформировать ПФХД или применимый финансовый документ</w:t>
            </w:r>
          </w:p>
        </w:tc>
      </w:tr>
      <w:tr>
        <w:trPr>
          <w:cantSplit w:val="true"/>
        </w:trP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Вакантные места</w:t>
            </w:r>
          </w:p>
        </w:tc>
        <w:tc>
          <w:tcPr>
            <w:tcW w:type="dxa" w:w="38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0; прием и перевод не открыты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Утвердить контрольные цифры или договорные места</w:t>
            </w:r>
          </w:p>
        </w:tc>
      </w:tr>
      <w:tr>
        <w:trPr>
          <w:cantSplit w:val="true"/>
        </w:trP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Стипендии и поддержка</w:t>
            </w:r>
          </w:p>
        </w:tc>
        <w:tc>
          <w:tcPr>
            <w:tcW w:type="dxa" w:w="38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Не утверждены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Принять локальные решения и источники финансирования</w:t>
            </w:r>
          </w:p>
        </w:tc>
      </w:tr>
      <w:tr>
        <w:trPr>
          <w:cantSplit w:val="true"/>
        </w:trP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Общежитие и интернат</w:t>
            </w:r>
          </w:p>
        </w:tc>
        <w:tc>
          <w:tcPr>
            <w:tcW w:type="dxa" w:w="38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Отсутствуют; мест и комнат — 0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 появлении опубликовать порядок, количество и плату</w:t>
            </w:r>
          </w:p>
        </w:tc>
      </w:tr>
      <w:tr>
        <w:trPr>
          <w:cantSplit w:val="true"/>
        </w:trP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Международное сотрудничество</w:t>
            </w:r>
          </w:p>
        </w:tc>
        <w:tc>
          <w:tcPr>
            <w:tcW w:type="dxa" w:w="38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Заключенные и планируемые договоры отсутствуют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Публиковать только подтвержденные договоры</w:t>
            </w:r>
          </w:p>
        </w:tc>
      </w:tr>
      <w:tr>
        <w:trPr>
          <w:cantSplit w:val="true"/>
        </w:trP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Питание</w:t>
            </w:r>
          </w:p>
        </w:tc>
        <w:tc>
          <w:tcPr>
            <w:tcW w:type="dxa" w:w="38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Очные площадки и объект питания отсутствуют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Определить условия до начала очных занятий</w:t>
            </w:r>
          </w:p>
        </w:tc>
      </w:tr>
      <w:tr>
        <w:trPr>
          <w:cantSplit w:val="true"/>
        </w:trP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Охрана здоровья</w:t>
            </w:r>
          </w:p>
        </w:tc>
        <w:tc>
          <w:tcPr>
            <w:tcW w:type="dxa" w:w="38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Условия не сформированы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Назначить ответственных и утвердить порядок</w:t>
            </w:r>
          </w:p>
        </w:tc>
      </w:tr>
    </w:tbl>
    <w:p>
      <w:pPr>
        <w:spacing w:after="40"/>
      </w:pPr>
    </w:p>
    <w:p>
      <w:pPr>
        <w:pStyle w:val="Heading1"/>
      </w:pPr>
      <w:r>
        <w:t>Правило актуализации</w:t>
      </w:r>
    </w:p>
    <w:p>
      <w:pPr>
        <w:widowControl/>
      </w:pPr>
      <w:r>
        <w:t>Ответственный за сайт получает подтверждающий документ, сверяет дату и полномочия, обновляет видимый HTML и файл, после чего запускает проверку микроразметки и прямых ссылок. Устаревшая редакция сохраняется в контролируемом архиве, но не выдается как действующая.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66660"/>
        <w:sz w:val="16"/>
      </w:rPr>
      <w:t xml:space="preserve">Проект для согласования  |  Колледж искусственного образования  |  </w:t>
    </w:r>
    <w:fldSimple w:instr="PAGE">
      <w:r>
        <w:rPr>
          <w:color w:val="666660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7171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